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A4D" w:rsidRDefault="00A87A4D" w:rsidP="00A87A4D">
      <w:pPr>
        <w:tabs>
          <w:tab w:val="center" w:pos="4680"/>
        </w:tabs>
      </w:pPr>
    </w:p>
    <w:p w:rsidR="00A87A4D" w:rsidRDefault="00A87A4D" w:rsidP="00A87A4D">
      <w:pPr>
        <w:tabs>
          <w:tab w:val="center" w:pos="4680"/>
        </w:tabs>
      </w:pPr>
    </w:p>
    <w:p w:rsidR="00A87A4D" w:rsidRDefault="00A87A4D" w:rsidP="00A87A4D">
      <w:pPr>
        <w:tabs>
          <w:tab w:val="center" w:pos="4680"/>
        </w:tabs>
      </w:pPr>
    </w:p>
    <w:p w:rsidR="00A87A4D" w:rsidRDefault="00A87A4D" w:rsidP="00A87A4D">
      <w:pPr>
        <w:tabs>
          <w:tab w:val="center" w:pos="4680"/>
        </w:tabs>
      </w:pPr>
    </w:p>
    <w:p w:rsidR="00A87A4D" w:rsidRDefault="00A87A4D" w:rsidP="00A87A4D">
      <w:pPr>
        <w:tabs>
          <w:tab w:val="center" w:pos="4680"/>
        </w:tabs>
      </w:pPr>
    </w:p>
    <w:p w:rsidR="00A87A4D" w:rsidRDefault="00A87A4D" w:rsidP="00A87A4D">
      <w:pPr>
        <w:tabs>
          <w:tab w:val="center" w:pos="4680"/>
        </w:tabs>
      </w:pPr>
    </w:p>
    <w:p w:rsidR="00A87A4D" w:rsidRDefault="00A87A4D" w:rsidP="00A87A4D">
      <w:pPr>
        <w:tabs>
          <w:tab w:val="center" w:pos="4680"/>
        </w:tabs>
      </w:pPr>
    </w:p>
    <w:p w:rsidR="00A87A4D" w:rsidRDefault="00A87A4D" w:rsidP="00A87A4D">
      <w:pPr>
        <w:tabs>
          <w:tab w:val="center" w:pos="4680"/>
        </w:tabs>
      </w:pPr>
    </w:p>
    <w:p w:rsidR="00A87A4D" w:rsidRDefault="00A87A4D" w:rsidP="00A87A4D">
      <w:pPr>
        <w:tabs>
          <w:tab w:val="center" w:pos="4680"/>
        </w:tabs>
      </w:pPr>
    </w:p>
    <w:p w:rsidR="00A87A4D" w:rsidRPr="00CF7637" w:rsidRDefault="00A87A4D" w:rsidP="00A87A4D">
      <w:pPr>
        <w:tabs>
          <w:tab w:val="center" w:pos="4680"/>
        </w:tabs>
      </w:pPr>
      <w:r w:rsidRPr="00CF7637">
        <w:tab/>
      </w:r>
      <w:r w:rsidRPr="00CF7637">
        <w:rPr>
          <w:b/>
          <w:bCs/>
        </w:rPr>
        <w:t>Final Examination</w:t>
      </w:r>
    </w:p>
    <w:p w:rsidR="00A87A4D" w:rsidRPr="00CF7637" w:rsidRDefault="00A87A4D" w:rsidP="00A87A4D">
      <w:pPr>
        <w:tabs>
          <w:tab w:val="center" w:pos="4680"/>
        </w:tabs>
      </w:pPr>
      <w:r w:rsidRPr="00CF7637">
        <w:tab/>
      </w:r>
      <w:r w:rsidR="009B74CE">
        <w:rPr>
          <w:b/>
          <w:bCs/>
        </w:rPr>
        <w:t>Contracts, Fall 2017</w:t>
      </w:r>
    </w:p>
    <w:p w:rsidR="00A87A4D" w:rsidRPr="00CF7637" w:rsidRDefault="00A87A4D" w:rsidP="00A87A4D">
      <w:pPr>
        <w:tabs>
          <w:tab w:val="center" w:pos="4680"/>
        </w:tabs>
      </w:pPr>
      <w:r w:rsidRPr="00CF7637">
        <w:tab/>
      </w:r>
    </w:p>
    <w:p w:rsidR="00A87A4D" w:rsidRPr="00CF7637" w:rsidRDefault="00A87A4D" w:rsidP="00A87A4D">
      <w:pPr>
        <w:tabs>
          <w:tab w:val="center" w:pos="4680"/>
        </w:tabs>
      </w:pPr>
      <w:r w:rsidRPr="00CF7637">
        <w:tab/>
        <w:t>Prof. Warner</w:t>
      </w:r>
    </w:p>
    <w:p w:rsidR="00A87A4D" w:rsidRPr="00CF7637" w:rsidRDefault="00A87A4D" w:rsidP="00A87A4D">
      <w:pPr>
        <w:tabs>
          <w:tab w:val="center" w:pos="4680"/>
        </w:tabs>
      </w:pPr>
      <w:r w:rsidRPr="00CF7637">
        <w:tab/>
        <w:t xml:space="preserve">December </w:t>
      </w:r>
      <w:r w:rsidR="009F39C8">
        <w:t>6</w:t>
      </w:r>
      <w:r w:rsidR="009B74CE">
        <w:t>, 2017</w:t>
      </w:r>
    </w:p>
    <w:p w:rsidR="00A87A4D" w:rsidRPr="00CF7637" w:rsidRDefault="00A87A4D" w:rsidP="00A87A4D">
      <w:pPr>
        <w:tabs>
          <w:tab w:val="center" w:pos="4680"/>
        </w:tabs>
      </w:pPr>
    </w:p>
    <w:p w:rsidR="00A87A4D" w:rsidRPr="00CF7637" w:rsidRDefault="00A87A4D" w:rsidP="00C35C3F">
      <w:pPr>
        <w:ind w:firstLine="0"/>
      </w:pPr>
      <w:r w:rsidRPr="00CF7637">
        <w:t xml:space="preserve">The exam is 3 hours long.  </w:t>
      </w:r>
    </w:p>
    <w:p w:rsidR="00C35C3F" w:rsidRDefault="00C35C3F" w:rsidP="00C35C3F">
      <w:pPr>
        <w:ind w:left="-86" w:firstLine="0"/>
      </w:pPr>
    </w:p>
    <w:p w:rsidR="00A87A4D" w:rsidRPr="00CF7637" w:rsidRDefault="00A87A4D" w:rsidP="00C35C3F">
      <w:pPr>
        <w:ind w:left="-86" w:firstLine="0"/>
      </w:pPr>
      <w:r w:rsidRPr="00CF7637">
        <w:t xml:space="preserve">The exam is open book; you may use material on your computers, as well as commercial </w:t>
      </w:r>
      <w:r w:rsidR="00C35C3F">
        <w:t xml:space="preserve">or personal printed materials. You may not access the Internet. </w:t>
      </w:r>
    </w:p>
    <w:p w:rsidR="00A87A4D" w:rsidRDefault="00A87A4D" w:rsidP="00B132DC">
      <w:pPr>
        <w:spacing w:line="480" w:lineRule="auto"/>
      </w:pPr>
      <w:r>
        <w:br w:type="page"/>
      </w:r>
    </w:p>
    <w:p w:rsidR="00BE4333" w:rsidRDefault="000A7736" w:rsidP="00BA75D1">
      <w:r>
        <w:lastRenderedPageBreak/>
        <w:t>Steve Solwe ow</w:t>
      </w:r>
      <w:r w:rsidR="004C05C1">
        <w:t xml:space="preserve">ns and operates the </w:t>
      </w:r>
      <w:r w:rsidR="00BA75D1">
        <w:t xml:space="preserve">energy company, Solar Sowle, whose motto is “Convert with Sowle.” </w:t>
      </w:r>
      <w:r w:rsidR="00AD61B7">
        <w:t>On March 21, 2017, h</w:t>
      </w:r>
      <w:r>
        <w:t>e is negotiating with Mickie Piatt, who owns a r</w:t>
      </w:r>
      <w:r w:rsidR="00F9152A">
        <w:t>eal estate development company, for the purchase of solar panels</w:t>
      </w:r>
      <w:r w:rsidR="000679C9">
        <w:t xml:space="preserve"> for her high rise development, The Apollo</w:t>
      </w:r>
      <w:r w:rsidR="00F9152A">
        <w:t>. Sowle says, “It looks like two of our products will mee</w:t>
      </w:r>
      <w:r w:rsidR="00BE4BB1">
        <w:t xml:space="preserve">t your needs, the Regular Pallet </w:t>
      </w:r>
      <w:r w:rsidR="00F9152A">
        <w:t xml:space="preserve">putting out 8000 watts per pallet at a price of $7900, or the </w:t>
      </w:r>
      <w:r w:rsidR="00BE4BB1">
        <w:t>Superior Sowler Pallet putting out 9000 watts per pallet at $9000 a pallet.” Piatt says. “Send me your standard purchase order for three Superior Sowler Pallets.” Sowle agrees to do so. Piatt then says “I will also need an expert to install the panels.</w:t>
      </w:r>
      <w:r w:rsidR="004C05C1">
        <w:t xml:space="preserve"> Can you do that?” Sowle says, “I should be able to arrange that. We don’t normally handle installation, but I can get some subcontractors. Let me get back to you tomorrow.” Sowle contacts Spirit Delivery to handle the delivery of the Superior Sowler Pallets, and E. M. Body Co. for installation.</w:t>
      </w:r>
      <w:r w:rsidR="00EE4517">
        <w:t xml:space="preserve"> </w:t>
      </w:r>
      <w:r w:rsidR="00776F3E">
        <w:t>Spirit Deliver</w:t>
      </w:r>
      <w:r w:rsidR="000679C9">
        <w:t>y</w:t>
      </w:r>
      <w:r w:rsidR="00776F3E">
        <w:t xml:space="preserve"> and E. M. Body submit </w:t>
      </w:r>
      <w:r w:rsidR="000679C9">
        <w:t xml:space="preserve">their </w:t>
      </w:r>
      <w:r w:rsidR="00776F3E">
        <w:t xml:space="preserve">bids that day. </w:t>
      </w:r>
      <w:r w:rsidR="004C05C1">
        <w:t>The amount in Spirit’s delivery bid is lower</w:t>
      </w:r>
      <w:r w:rsidR="000679C9">
        <w:t xml:space="preserve"> by $2000</w:t>
      </w:r>
      <w:r w:rsidR="004C05C1">
        <w:t xml:space="preserve"> than Sowle expected, and he decides he can offer free delivery and installation to Piatt. </w:t>
      </w:r>
      <w:r w:rsidR="00EE4517">
        <w:t>The next day, h</w:t>
      </w:r>
      <w:r w:rsidR="00BA75D1">
        <w:t>e calls Piatt, and says, “</w:t>
      </w:r>
      <w:r w:rsidR="00BE4BB1">
        <w:t xml:space="preserve">If you agree to buy </w:t>
      </w:r>
      <w:r w:rsidR="00AD61B7">
        <w:t xml:space="preserve">at least </w:t>
      </w:r>
      <w:r w:rsidR="00BE4BB1">
        <w:t>three Superior Sowlers, I will provide the installation for free.</w:t>
      </w:r>
      <w:r w:rsidR="00BA75D1">
        <w:t xml:space="preserve"> Installation will begin on the day of delivery.</w:t>
      </w:r>
      <w:r w:rsidR="00BE4BB1">
        <w:t xml:space="preserve">” Piatt says, “That’s a deal!” </w:t>
      </w:r>
    </w:p>
    <w:p w:rsidR="00303E6A" w:rsidRDefault="00303E6A" w:rsidP="00900518">
      <w:r>
        <w:t xml:space="preserve">Sowle </w:t>
      </w:r>
      <w:r w:rsidR="00BA75D1">
        <w:t xml:space="preserve">sends Piatt a </w:t>
      </w:r>
      <w:r>
        <w:t xml:space="preserve">signed written </w:t>
      </w:r>
      <w:r w:rsidR="00900518">
        <w:t xml:space="preserve">agreement—the panel </w:t>
      </w:r>
      <w:r>
        <w:t xml:space="preserve">agreement—that describes all pertinent details </w:t>
      </w:r>
      <w:r w:rsidR="00900518">
        <w:t>of the solar panel deal between Sowle and Piatt</w:t>
      </w:r>
      <w:r>
        <w:t xml:space="preserve">. It also contains </w:t>
      </w:r>
      <w:r w:rsidR="004102B0">
        <w:t>these</w:t>
      </w:r>
      <w:r>
        <w:t xml:space="preserve"> clause:</w:t>
      </w:r>
    </w:p>
    <w:p w:rsidR="00303E6A" w:rsidRPr="008511D7" w:rsidRDefault="00303E6A" w:rsidP="00303E6A"/>
    <w:p w:rsidR="00303E6A" w:rsidRDefault="00303E6A" w:rsidP="00900518">
      <w:pPr>
        <w:ind w:left="720" w:firstLine="0"/>
      </w:pPr>
      <w:r w:rsidRPr="00CF7637">
        <w:rPr>
          <w:i/>
        </w:rPr>
        <w:t>Entire agreement clause</w:t>
      </w:r>
      <w:r>
        <w:t>:  T</w:t>
      </w:r>
      <w:r w:rsidRPr="00CF7637">
        <w:t>his agreement represents the complete and final statement of the parties</w:t>
      </w:r>
      <w:r>
        <w:t>’</w:t>
      </w:r>
      <w:r w:rsidRPr="00CF7637">
        <w:t xml:space="preserve"> obligations. Neither party is relying on any oral or written representations not contained in this agreement. </w:t>
      </w:r>
    </w:p>
    <w:p w:rsidR="004102B0" w:rsidRDefault="004102B0" w:rsidP="00900518">
      <w:pPr>
        <w:ind w:left="720" w:firstLine="0"/>
      </w:pPr>
    </w:p>
    <w:p w:rsidR="004102B0" w:rsidRPr="00CF7637" w:rsidRDefault="004102B0" w:rsidP="00900518">
      <w:pPr>
        <w:ind w:left="720" w:firstLine="0"/>
      </w:pPr>
      <w:r>
        <w:t xml:space="preserve">Delivery date: June 13, 2017. </w:t>
      </w:r>
    </w:p>
    <w:p w:rsidR="00303E6A" w:rsidRDefault="00303E6A" w:rsidP="00303E6A"/>
    <w:p w:rsidR="00324760" w:rsidRDefault="00303E6A" w:rsidP="00900518">
      <w:pPr>
        <w:ind w:firstLine="0"/>
      </w:pPr>
      <w:r>
        <w:t xml:space="preserve">The agreement does not </w:t>
      </w:r>
      <w:r w:rsidR="00900518">
        <w:t>mention anything about installing the panels</w:t>
      </w:r>
      <w:r>
        <w:t xml:space="preserve">. </w:t>
      </w:r>
      <w:r w:rsidR="00A56DD9">
        <w:t xml:space="preserve">Sowle includes a note that says </w:t>
      </w:r>
    </w:p>
    <w:p w:rsidR="00324760" w:rsidRDefault="00324760" w:rsidP="00900518">
      <w:pPr>
        <w:ind w:firstLine="0"/>
      </w:pPr>
    </w:p>
    <w:p w:rsidR="00324760" w:rsidRDefault="00A56DD9" w:rsidP="00324760">
      <w:pPr>
        <w:ind w:left="720" w:firstLine="0"/>
      </w:pPr>
      <w:r>
        <w:t>Her</w:t>
      </w:r>
      <w:r w:rsidR="00C51BAE">
        <w:t>e is the signed purchase order for your consideration and acceptance. Sign and we have a deal.</w:t>
      </w:r>
    </w:p>
    <w:p w:rsidR="00324760" w:rsidRDefault="00324760" w:rsidP="00324760">
      <w:pPr>
        <w:ind w:left="720" w:firstLine="0"/>
      </w:pPr>
    </w:p>
    <w:p w:rsidR="00324760" w:rsidRDefault="00BA75D1" w:rsidP="00324760">
      <w:pPr>
        <w:ind w:left="720" w:firstLine="0"/>
      </w:pPr>
      <w:r>
        <w:t>Put some soul in your solar. Convert</w:t>
      </w:r>
      <w:r w:rsidR="00324760">
        <w:t xml:space="preserve"> with Sowle!</w:t>
      </w:r>
    </w:p>
    <w:p w:rsidR="00324760" w:rsidRDefault="00324760" w:rsidP="00324760">
      <w:pPr>
        <w:ind w:left="720" w:firstLine="0"/>
      </w:pPr>
    </w:p>
    <w:p w:rsidR="00324760" w:rsidRDefault="00FE614A" w:rsidP="00324760">
      <w:pPr>
        <w:ind w:left="720" w:firstLine="0"/>
      </w:pPr>
      <w:r>
        <w:t>Sowlerly</w:t>
      </w:r>
      <w:r w:rsidR="00324760">
        <w:t xml:space="preserve"> Yours,</w:t>
      </w:r>
    </w:p>
    <w:p w:rsidR="00324760" w:rsidRDefault="00324760" w:rsidP="00324760">
      <w:pPr>
        <w:ind w:left="720" w:firstLine="0"/>
      </w:pPr>
    </w:p>
    <w:p w:rsidR="00324760" w:rsidRDefault="00324760" w:rsidP="00324760">
      <w:pPr>
        <w:ind w:left="720" w:firstLine="0"/>
      </w:pPr>
      <w:r>
        <w:t>Steve</w:t>
      </w:r>
      <w:r w:rsidR="00C51BAE">
        <w:t xml:space="preserve"> </w:t>
      </w:r>
    </w:p>
    <w:p w:rsidR="00324760" w:rsidRDefault="00324760" w:rsidP="00324760"/>
    <w:p w:rsidR="00044B11" w:rsidRDefault="00C51BAE" w:rsidP="000B7B63">
      <w:r>
        <w:t xml:space="preserve">Piatt returns the form without her signature, and a note that says, </w:t>
      </w:r>
      <w:r w:rsidR="0047653A">
        <w:t>“I propose a som</w:t>
      </w:r>
      <w:r w:rsidR="000679C9">
        <w:t xml:space="preserve">ewhat different deal. It is just like your deal </w:t>
      </w:r>
      <w:r w:rsidR="0047653A">
        <w:t xml:space="preserve">except </w:t>
      </w:r>
      <w:r w:rsidR="00324760">
        <w:t xml:space="preserve">that it is for </w:t>
      </w:r>
      <w:r w:rsidR="00324760" w:rsidRPr="000679C9">
        <w:rPr>
          <w:i/>
        </w:rPr>
        <w:t>four</w:t>
      </w:r>
      <w:r w:rsidR="00324760">
        <w:t xml:space="preserve"> Superior Sowlers for a total price of $33,000. I have made the changes in the form. Initial the changes, send the form back to me, and I will look it over one more time, and mostly likely accept it.</w:t>
      </w:r>
      <w:r w:rsidR="00B62144">
        <w:t xml:space="preserve"> Two </w:t>
      </w:r>
      <w:r w:rsidR="00AD61B7">
        <w:t>more thing</w:t>
      </w:r>
      <w:r w:rsidR="00B62144">
        <w:t>s</w:t>
      </w:r>
      <w:r w:rsidR="00AD61B7">
        <w:t>—</w:t>
      </w:r>
      <w:r w:rsidR="00B62144">
        <w:t xml:space="preserve">first, </w:t>
      </w:r>
      <w:r w:rsidR="00AD61B7">
        <w:t xml:space="preserve">only the Superior Sowlers are acceptable. </w:t>
      </w:r>
      <w:r w:rsidR="000679C9">
        <w:t>Nothing else will meet my needs; second, it is essential that delivery be on June 13. I am on a strict construction schedule, and delays could cost me in the hundreds of thousands.</w:t>
      </w:r>
      <w:r w:rsidR="00324760">
        <w:t xml:space="preserve">” Sowle does initial the changes and return the </w:t>
      </w:r>
      <w:r w:rsidR="0047653A">
        <w:t xml:space="preserve">purchase </w:t>
      </w:r>
      <w:r w:rsidR="0047653A">
        <w:lastRenderedPageBreak/>
        <w:t>order to Piatt with a note that says, “</w:t>
      </w:r>
      <w:r w:rsidR="004C05C1">
        <w:t>Here we go again—up to you now</w:t>
      </w:r>
      <w:r w:rsidR="0047653A">
        <w:t>.</w:t>
      </w:r>
      <w:r w:rsidR="005C6C13">
        <w:t xml:space="preserve">” </w:t>
      </w:r>
      <w:r w:rsidR="00324760">
        <w:t xml:space="preserve">When she receives it, </w:t>
      </w:r>
      <w:r w:rsidR="00FE614A">
        <w:t xml:space="preserve">Piatt calls asks about the entire agreement clause. </w:t>
      </w:r>
      <w:r w:rsidR="000679C9">
        <w:t xml:space="preserve">She says, “What is this thing? I mean the clause </w:t>
      </w:r>
      <w:r w:rsidR="00BA75D1">
        <w:t>that says ‘T</w:t>
      </w:r>
      <w:r w:rsidR="00BA75D1" w:rsidRPr="00CF7637">
        <w:t>his agreement represents the complete and final statement of the parties</w:t>
      </w:r>
      <w:r w:rsidR="00BA75D1">
        <w:t>’</w:t>
      </w:r>
      <w:r w:rsidR="00BA75D1" w:rsidRPr="00CF7637">
        <w:t xml:space="preserve"> obligations. Neither party is relying on any oral or written representations not contained in this agreement.</w:t>
      </w:r>
      <w:r w:rsidR="00BA75D1">
        <w:t xml:space="preserve">’ Does that mean our installation agreement is canceled? There is no mention of it in the written pallet agreement.” Sowle says, “I never paid any attention to that clause. The lawyer put it in. We can just ignore. We know what we are doing, right? Purchase </w:t>
      </w:r>
      <w:r w:rsidR="00BA75D1" w:rsidRPr="00BA75D1">
        <w:rPr>
          <w:i/>
        </w:rPr>
        <w:t>and</w:t>
      </w:r>
      <w:r w:rsidR="00BA75D1">
        <w:t xml:space="preserve"> installation.” Piatt replies, “Right! Purchase </w:t>
      </w:r>
      <w:r w:rsidR="00BA75D1" w:rsidRPr="00BA75D1">
        <w:rPr>
          <w:i/>
        </w:rPr>
        <w:t>and</w:t>
      </w:r>
      <w:r w:rsidR="00BA75D1">
        <w:t xml:space="preserve"> installation. </w:t>
      </w:r>
      <w:r w:rsidR="000B7B63">
        <w:t xml:space="preserve">I have never understood lawyer talk much either. But we know what we are doing.” After the conversation, </w:t>
      </w:r>
      <w:r w:rsidR="00BA75D1">
        <w:t xml:space="preserve">Piatt signs the purchase order </w:t>
      </w:r>
      <w:r w:rsidR="000B7B63">
        <w:t>and inserts an additional page t</w:t>
      </w:r>
      <w:r w:rsidR="00BA75D1">
        <w:t xml:space="preserve">hat says, “Warranty of Merchantablity: Solar Sowle warrants that the panels are fit for the purpose for which such panels are ordinarily used.” Piatt includes a note that says, “I have accepted your </w:t>
      </w:r>
      <w:r w:rsidR="000B7B63">
        <w:t>offer. Glad our deal is done.” Sowle and Piatt have no further conversations about the pallet agreement.</w:t>
      </w:r>
      <w:r w:rsidR="000679C9">
        <w:t xml:space="preserve"> The Warranty of Merchantability was neither asserted nor disclaimed in the written agreement Sowle sent Piatt. </w:t>
      </w:r>
    </w:p>
    <w:p w:rsidR="00044B11" w:rsidRDefault="00044B11" w:rsidP="00044B11">
      <w:r>
        <w:t xml:space="preserve">Sowle is so pleased to be supplying solar panels to Piatt’s high rise development, The Apollo, that he decides to build a new marketing campaign around his role in the development. He contacts Delphic Marketing. He is negotiating with </w:t>
      </w:r>
      <w:r w:rsidR="00131540">
        <w:t>its</w:t>
      </w:r>
      <w:r>
        <w:t xml:space="preserve"> president, Diana Pythia. Pythia sends Solwe a copy of the standard agreement she uses for marketing services on social media on the Internet. Sowle reads it and says that it all looks fine. “Just one thing,” he says. “I am worried about people using ad blockers to prevent the display of the ads. </w:t>
      </w:r>
      <w:r w:rsidR="009C21E4">
        <w:t xml:space="preserve">Do you do anything about that?” Pythia responds, “The sites we work with monitor the use of ad blockers. So far it has not been a problem for us. We are getting an excellent response rate to our ads. If you are worried, add a clause </w:t>
      </w:r>
      <w:r w:rsidR="000679C9">
        <w:t xml:space="preserve">that says that </w:t>
      </w:r>
      <w:r w:rsidR="009C21E4">
        <w:t>Delphic Marketing will reimburse you 10% of the fee charged if the use of ad blockers causes a 10% drop in our ad display rate.” Sowle adds the suggested clause, signs the agree</w:t>
      </w:r>
      <w:r w:rsidR="004102B0">
        <w:t>ment, and returns it to Pythia.</w:t>
      </w:r>
    </w:p>
    <w:p w:rsidR="00044B11" w:rsidRDefault="004102B0" w:rsidP="00F81CE8">
      <w:r>
        <w:t>Monocrystalline silicon is a key component in Sowle’s Superior Sowler Pallets. Sowle’s supplier of monocrystalline silicon is Crystal One. In April, Crystal One’s corporate network is hacked and several files</w:t>
      </w:r>
      <w:r w:rsidR="008E01CF">
        <w:t xml:space="preserve"> are destroyed. The destroyed </w:t>
      </w:r>
      <w:r>
        <w:t>files include all records of Sowle</w:t>
      </w:r>
      <w:r w:rsidR="004401A1">
        <w:t xml:space="preserve">’s order </w:t>
      </w:r>
      <w:r>
        <w:t>for monocrystalline silicon</w:t>
      </w:r>
      <w:r w:rsidR="004401A1">
        <w:t xml:space="preserve"> to be delivered on May </w:t>
      </w:r>
      <w:r w:rsidR="00F657C2">
        <w:t xml:space="preserve">1, 2017. This was the supply </w:t>
      </w:r>
      <w:r w:rsidR="004401A1">
        <w:t>that Sowle planned to use for Piatt’s solar panel</w:t>
      </w:r>
      <w:r w:rsidR="003D6EFD">
        <w:t>s</w:t>
      </w:r>
      <w:r w:rsidR="004401A1">
        <w:t>. The hack</w:t>
      </w:r>
      <w:r w:rsidR="00F81CE8">
        <w:t xml:space="preserve"> was not a sophistic</w:t>
      </w:r>
      <w:r w:rsidR="004401A1">
        <w:t>ated attack. It</w:t>
      </w:r>
      <w:r w:rsidR="009A404E">
        <w:t xml:space="preserve"> was a result of a flaw</w:t>
      </w:r>
      <w:r w:rsidR="00F81CE8">
        <w:t xml:space="preserve"> in the softw</w:t>
      </w:r>
      <w:r w:rsidR="009A404E">
        <w:t xml:space="preserve">are for Crystal One’s websites. The flaw was in </w:t>
      </w:r>
      <w:r w:rsidR="00F81CE8">
        <w:t>a program called Apache Struts, created and distributed by Apache. Apache notified all uses of t</w:t>
      </w:r>
      <w:r w:rsidR="009A404E">
        <w:t>he flaw</w:t>
      </w:r>
      <w:r w:rsidR="00F81CE8">
        <w:t xml:space="preserve"> and provided them with the means to fix it on March 6, 2017. </w:t>
      </w:r>
      <w:r w:rsidR="004401A1">
        <w:t xml:space="preserve">At the same time, </w:t>
      </w:r>
      <w:r w:rsidR="00F81CE8">
        <w:t>Crystal One was also notified of the vulnerability and its seriousness by the Department of Homeland Security, which al</w:t>
      </w:r>
      <w:r w:rsidR="00022BF5">
        <w:t>so provided instructions to</w:t>
      </w:r>
      <w:bookmarkStart w:id="0" w:name="_GoBack"/>
      <w:bookmarkEnd w:id="0"/>
      <w:r w:rsidR="00F81CE8">
        <w:t xml:space="preserve"> fix the problem. The computer press widely discussed the problem, calling it “critical,” and the press noted that many hackers were exploiting the vulnerability to gain unauthorized access to websites. Crystal One had not fixed the problem in April at the time of the hack. </w:t>
      </w:r>
    </w:p>
    <w:p w:rsidR="00AD61B7" w:rsidRDefault="004401A1" w:rsidP="00B62144">
      <w:pPr>
        <w:ind w:firstLine="0"/>
      </w:pPr>
      <w:r>
        <w:tab/>
        <w:t>Crystal One</w:t>
      </w:r>
      <w:r w:rsidR="00C83CB0">
        <w:t xml:space="preserve"> was </w:t>
      </w:r>
      <w:r w:rsidR="00FF2E16">
        <w:t xml:space="preserve">under contract with Sowle to </w:t>
      </w:r>
      <w:r>
        <w:t>deliver monocrystalline silicon to Sowle on May 1.</w:t>
      </w:r>
      <w:r w:rsidR="009A404E">
        <w:t xml:space="preserve"> Because all of the records concerning Sowle’s order no longer exist, Crystal One fails to deliver.</w:t>
      </w:r>
      <w:r w:rsidR="003E0A22">
        <w:t xml:space="preserve"> </w:t>
      </w:r>
      <w:r>
        <w:t xml:space="preserve">Sowle </w:t>
      </w:r>
      <w:r w:rsidR="009A404E">
        <w:t xml:space="preserve">immediately </w:t>
      </w:r>
      <w:r>
        <w:t xml:space="preserve">contacts Crystal One, </w:t>
      </w:r>
      <w:r w:rsidR="003E0A22">
        <w:t xml:space="preserve">and </w:t>
      </w:r>
      <w:r>
        <w:t xml:space="preserve">they explain their hack problem, and promise to get the monocrystalline silicon to him in two </w:t>
      </w:r>
      <w:r w:rsidR="009A404E">
        <w:t xml:space="preserve">weeks. That is </w:t>
      </w:r>
      <w:r>
        <w:t xml:space="preserve">faster than Sowle can get monocrystalline silicon from </w:t>
      </w:r>
      <w:r>
        <w:lastRenderedPageBreak/>
        <w:t xml:space="preserve">any other supplier, so he agrees to wait for the delivery. However, he is unable to have the Four Superior Sowler Pallets ready for the June 13 delivery to Piatt. On June 13, he delivers </w:t>
      </w:r>
      <w:r w:rsidR="00871FA6">
        <w:t xml:space="preserve">four Regular Pallets saying, “You can have these for half price.” </w:t>
      </w:r>
      <w:r w:rsidR="00B62144">
        <w:t xml:space="preserve">Piatt </w:t>
      </w:r>
      <w:r w:rsidR="00AD61B7">
        <w:t>nonetheless refuses to accept the software even wit</w:t>
      </w:r>
      <w:r w:rsidR="00B62144">
        <w:t>h the price reduction, and Solwe</w:t>
      </w:r>
      <w:r w:rsidR="00AD61B7">
        <w:t xml:space="preserve"> seasonably announces his intention to cure.</w:t>
      </w:r>
      <w:r w:rsidR="00B62144">
        <w:t xml:space="preserve"> Piatt says, “I don’t think you have any right to cure, but I really need to panels, so I am willing to wait a while before I rescind the contract.” </w:t>
      </w:r>
      <w:r w:rsidR="00AD61B7">
        <w:t>On June 30,</w:t>
      </w:r>
      <w:r w:rsidR="00B62144">
        <w:t xml:space="preserve"> </w:t>
      </w:r>
      <w:r w:rsidR="005A3F75">
        <w:t xml:space="preserve">Sowle delivers </w:t>
      </w:r>
      <w:r w:rsidR="00B62144">
        <w:t>four Superior Sowler Pallets. Piatt accepts the delivery</w:t>
      </w:r>
      <w:r w:rsidR="00AD61B7">
        <w:t xml:space="preserve"> and pays the full contract price for it, but by that time, </w:t>
      </w:r>
      <w:r w:rsidR="009A404E">
        <w:t xml:space="preserve">she has lost $100,000 </w:t>
      </w:r>
      <w:r w:rsidR="00B62144">
        <w:t xml:space="preserve">from delays in construction. </w:t>
      </w:r>
    </w:p>
    <w:p w:rsidR="00AD61B7" w:rsidRPr="00CF7637" w:rsidRDefault="00AD61B7" w:rsidP="00AD61B7"/>
    <w:p w:rsidR="00AD61B7" w:rsidRPr="00CF7637" w:rsidRDefault="00AD61B7" w:rsidP="00601554">
      <w:pPr>
        <w:ind w:firstLine="0"/>
        <w:rPr>
          <w:b/>
        </w:rPr>
      </w:pPr>
      <w:r w:rsidRPr="00CF7637">
        <w:rPr>
          <w:b/>
        </w:rPr>
        <w:t>Questions</w:t>
      </w:r>
      <w:r w:rsidR="00FF2E16">
        <w:rPr>
          <w:b/>
        </w:rPr>
        <w:t xml:space="preserve"> (1) – (6</w:t>
      </w:r>
      <w:r>
        <w:rPr>
          <w:b/>
        </w:rPr>
        <w:t>)</w:t>
      </w:r>
    </w:p>
    <w:p w:rsidR="00AD61B7" w:rsidRPr="00CF7637" w:rsidRDefault="00AD61B7" w:rsidP="00AD61B7"/>
    <w:p w:rsidR="00FF2E16" w:rsidRDefault="00776F3E" w:rsidP="009A404E">
      <w:pPr>
        <w:ind w:firstLine="0"/>
      </w:pPr>
      <w:r>
        <w:t xml:space="preserve">(1) </w:t>
      </w:r>
      <w:r w:rsidR="00FF2E16">
        <w:t xml:space="preserve">On </w:t>
      </w:r>
      <w:r>
        <w:t xml:space="preserve">March 22, Spirit delivery contacts Solwe to inform him that they make a mistake in calculating their bid. They were adding by hand because their computers were down, and they added incorrectly. They say they are revoking their offer. Is their offer revocable? Assume that Sowle and Spirit do not have an option contract. </w:t>
      </w:r>
    </w:p>
    <w:p w:rsidR="00FF2E16" w:rsidRDefault="00FF2E16" w:rsidP="00AD61B7"/>
    <w:p w:rsidR="00AD61B7" w:rsidRDefault="00FF2E16" w:rsidP="009A404E">
      <w:pPr>
        <w:ind w:firstLine="0"/>
      </w:pPr>
      <w:r>
        <w:t>(2</w:t>
      </w:r>
      <w:r w:rsidR="00AD61B7">
        <w:t xml:space="preserve">) Does the </w:t>
      </w:r>
      <w:r w:rsidR="00303ABC">
        <w:t xml:space="preserve">agreement between Sowle and Piatt contain a warranty of merchantability? </w:t>
      </w:r>
    </w:p>
    <w:p w:rsidR="00303ABC" w:rsidRDefault="00303ABC" w:rsidP="00303ABC">
      <w:pPr>
        <w:ind w:firstLine="0"/>
      </w:pPr>
    </w:p>
    <w:p w:rsidR="00FF2E16" w:rsidRPr="00FF2E16" w:rsidRDefault="009A404E" w:rsidP="00FF2E16">
      <w:pPr>
        <w:ind w:firstLine="0"/>
        <w:rPr>
          <w:b/>
        </w:rPr>
      </w:pPr>
      <w:r>
        <w:rPr>
          <w:b/>
        </w:rPr>
        <w:t xml:space="preserve">You may assume that if there is an </w:t>
      </w:r>
      <w:r w:rsidR="00AD61B7" w:rsidRPr="00303ABC">
        <w:rPr>
          <w:b/>
        </w:rPr>
        <w:t>expression of acceptance</w:t>
      </w:r>
      <w:r>
        <w:rPr>
          <w:b/>
        </w:rPr>
        <w:t>, it</w:t>
      </w:r>
      <w:r w:rsidR="00AD61B7" w:rsidRPr="00303ABC">
        <w:rPr>
          <w:b/>
        </w:rPr>
        <w:t xml:space="preserve"> is definite and seasonable.</w:t>
      </w:r>
    </w:p>
    <w:p w:rsidR="00FF2E16" w:rsidRDefault="00FF2E16" w:rsidP="00AD61B7"/>
    <w:p w:rsidR="00AD61B7" w:rsidRDefault="00FF2E16" w:rsidP="009A404E">
      <w:pPr>
        <w:ind w:firstLine="0"/>
      </w:pPr>
      <w:r>
        <w:t>(3</w:t>
      </w:r>
      <w:r w:rsidR="00AD61B7">
        <w:t xml:space="preserve">) Does the parol evidence rule make the oral agreement </w:t>
      </w:r>
      <w:r w:rsidR="00303ABC">
        <w:t>concerning free installation unenforceable</w:t>
      </w:r>
      <w:r w:rsidR="00AD61B7">
        <w:t xml:space="preserve">? </w:t>
      </w:r>
    </w:p>
    <w:p w:rsidR="00AD61B7" w:rsidRDefault="00AD61B7" w:rsidP="00AD61B7"/>
    <w:p w:rsidR="00AD61B7" w:rsidRPr="00B777B1" w:rsidRDefault="00AD61B7" w:rsidP="009A404E">
      <w:pPr>
        <w:ind w:firstLine="0"/>
        <w:rPr>
          <w:b/>
        </w:rPr>
      </w:pPr>
      <w:r>
        <w:rPr>
          <w:b/>
        </w:rPr>
        <w:t>NOTE: U</w:t>
      </w:r>
      <w:r w:rsidRPr="00CF7637">
        <w:rPr>
          <w:b/>
        </w:rPr>
        <w:t xml:space="preserve">SE THE </w:t>
      </w:r>
      <w:r>
        <w:rPr>
          <w:b/>
        </w:rPr>
        <w:t xml:space="preserve">PAROL EVIDENCE </w:t>
      </w:r>
      <w:r w:rsidRPr="00CF7637">
        <w:rPr>
          <w:b/>
        </w:rPr>
        <w:t>RULE AS STATED IN CLASS, AND USE ONLY THE NORMAL INCLUSION TEST FOR SCOPE.</w:t>
      </w:r>
      <w:r>
        <w:rPr>
          <w:b/>
        </w:rPr>
        <w:t xml:space="preserve"> </w:t>
      </w:r>
      <w:r>
        <w:t xml:space="preserve">You may assume the oral agreement satisfies the requirements of offer, acceptance, and consideration, and you may that the written agreement between Sowle and </w:t>
      </w:r>
      <w:r w:rsidR="00303ABC">
        <w:t xml:space="preserve">Piatt </w:t>
      </w:r>
      <w:r>
        <w:t xml:space="preserve">is a legally enforceable agreement. </w:t>
      </w:r>
      <w:r w:rsidR="00303ABC">
        <w:t xml:space="preserve">If you decide the written agreement is not a complete integration, be sure to discuss what happens if you assume it is. </w:t>
      </w:r>
    </w:p>
    <w:p w:rsidR="00AD61B7" w:rsidRDefault="00AD61B7" w:rsidP="00AD61B7"/>
    <w:p w:rsidR="00AD61B7" w:rsidRDefault="00FF2E16" w:rsidP="00CF4A8D">
      <w:pPr>
        <w:ind w:firstLine="0"/>
      </w:pPr>
      <w:r>
        <w:t>(4</w:t>
      </w:r>
      <w:r w:rsidR="00AD61B7">
        <w:t>)</w:t>
      </w:r>
      <w:r w:rsidR="00303ABC">
        <w:t xml:space="preserve"> Do Sowle and Pythia meet the requirements of offer and acceptance?</w:t>
      </w:r>
      <w:r w:rsidR="00AD61B7">
        <w:t xml:space="preserve"> </w:t>
      </w:r>
    </w:p>
    <w:p w:rsidR="00AD61B7" w:rsidRDefault="00AD61B7" w:rsidP="00303ABC">
      <w:pPr>
        <w:ind w:firstLine="0"/>
      </w:pPr>
    </w:p>
    <w:p w:rsidR="00776F3E" w:rsidRDefault="00776F3E" w:rsidP="00776F3E">
      <w:pPr>
        <w:ind w:firstLine="0"/>
      </w:pPr>
      <w:r>
        <w:t xml:space="preserve">(5) Does impracticability doctrine excuse Crystal One from its failure to deliver monocrystalline silicon on May 1? You may assume that the hack was unforeseen at the time of contracting. </w:t>
      </w:r>
    </w:p>
    <w:p w:rsidR="003043C2" w:rsidRDefault="003043C2" w:rsidP="00776F3E">
      <w:pPr>
        <w:ind w:firstLine="0"/>
      </w:pPr>
    </w:p>
    <w:p w:rsidR="003043C2" w:rsidRPr="003043C2" w:rsidRDefault="003043C2" w:rsidP="00776F3E">
      <w:pPr>
        <w:ind w:firstLine="0"/>
        <w:rPr>
          <w:b/>
        </w:rPr>
      </w:pPr>
      <w:r w:rsidRPr="003043C2">
        <w:rPr>
          <w:b/>
        </w:rPr>
        <w:t>Use impracticability doctrine as formulated in class.</w:t>
      </w:r>
    </w:p>
    <w:p w:rsidR="00776F3E" w:rsidRDefault="00776F3E" w:rsidP="00303ABC">
      <w:pPr>
        <w:ind w:firstLine="0"/>
      </w:pPr>
    </w:p>
    <w:p w:rsidR="00AD61B7" w:rsidRDefault="00776F3E" w:rsidP="00CF4A8D">
      <w:pPr>
        <w:ind w:firstLine="0"/>
      </w:pPr>
      <w:r>
        <w:t>(6</w:t>
      </w:r>
      <w:r w:rsidR="00AD61B7">
        <w:t xml:space="preserve">) </w:t>
      </w:r>
      <w:r w:rsidR="00461110">
        <w:t>When Sowle delivered the four Regular Pallets, did he</w:t>
      </w:r>
      <w:r w:rsidR="00AD61B7">
        <w:t xml:space="preserve"> h</w:t>
      </w:r>
      <w:r w:rsidR="00303ABC">
        <w:t>ave a right to cure after seasonably announcing his intention to cure?</w:t>
      </w:r>
    </w:p>
    <w:p w:rsidR="00AD61B7" w:rsidRDefault="00AD61B7" w:rsidP="00AD61B7"/>
    <w:p w:rsidR="00AD61B7" w:rsidRDefault="00776F3E" w:rsidP="00CF4A8D">
      <w:pPr>
        <w:ind w:firstLine="0"/>
      </w:pPr>
      <w:r>
        <w:t>(7</w:t>
      </w:r>
      <w:r w:rsidR="00303ABC">
        <w:t xml:space="preserve">) Does </w:t>
      </w:r>
      <w:r w:rsidR="00AD61B7">
        <w:t xml:space="preserve">Sowle </w:t>
      </w:r>
      <w:r w:rsidR="00303ABC">
        <w:t xml:space="preserve">owe Piatt </w:t>
      </w:r>
      <w:r w:rsidR="00AD61B7">
        <w:t>$</w:t>
      </w:r>
      <w:r w:rsidR="00303ABC">
        <w:t>10</w:t>
      </w:r>
      <w:r w:rsidR="00AD61B7">
        <w:t>0</w:t>
      </w:r>
      <w:r w:rsidR="00303ABC">
        <w:t>,0</w:t>
      </w:r>
      <w:r w:rsidR="00AD61B7">
        <w:t>00 in consequential damages?</w:t>
      </w:r>
      <w:r w:rsidR="00303ABC">
        <w:t xml:space="preserve"> Treat Piatt’s acceptance of the late delivery as the equivalent of a cover purchase. </w:t>
      </w:r>
    </w:p>
    <w:p w:rsidR="00CF4A8D" w:rsidRDefault="00CF4A8D" w:rsidP="00AD61B7">
      <w:pPr>
        <w:pStyle w:val="FootnoteText"/>
        <w:rPr>
          <w:sz w:val="22"/>
        </w:rPr>
      </w:pPr>
    </w:p>
    <w:p w:rsidR="00AD61B7" w:rsidRPr="00CF7637" w:rsidRDefault="00AD61B7" w:rsidP="00AD61B7">
      <w:pPr>
        <w:pStyle w:val="FootnoteText"/>
        <w:rPr>
          <w:b/>
          <w:sz w:val="22"/>
          <w:szCs w:val="22"/>
        </w:rPr>
      </w:pPr>
      <w:r>
        <w:rPr>
          <w:b/>
          <w:sz w:val="22"/>
          <w:szCs w:val="22"/>
        </w:rPr>
        <w:lastRenderedPageBreak/>
        <w:t xml:space="preserve">Some possibly relevant </w:t>
      </w:r>
      <w:r w:rsidRPr="00CF7637">
        <w:rPr>
          <w:b/>
          <w:sz w:val="22"/>
          <w:szCs w:val="22"/>
        </w:rPr>
        <w:t>UCC Section</w:t>
      </w:r>
      <w:r>
        <w:rPr>
          <w:b/>
          <w:sz w:val="22"/>
          <w:szCs w:val="22"/>
        </w:rPr>
        <w:t>s (you may need more than these sections for some questions)</w:t>
      </w:r>
    </w:p>
    <w:p w:rsidR="00AD61B7" w:rsidRPr="00CF7637" w:rsidRDefault="00AD61B7" w:rsidP="00AD61B7">
      <w:pPr>
        <w:pStyle w:val="FootnoteText"/>
        <w:rPr>
          <w:sz w:val="22"/>
          <w:szCs w:val="22"/>
        </w:rPr>
      </w:pPr>
    </w:p>
    <w:p w:rsidR="00AD61B7" w:rsidRPr="00CF7637" w:rsidRDefault="00AD61B7" w:rsidP="00AD61B7">
      <w:pPr>
        <w:pStyle w:val="FootnoteText"/>
        <w:rPr>
          <w:sz w:val="22"/>
          <w:szCs w:val="22"/>
        </w:rPr>
      </w:pPr>
      <w:r w:rsidRPr="00CF7637">
        <w:rPr>
          <w:sz w:val="22"/>
          <w:szCs w:val="22"/>
        </w:rPr>
        <w:t>§ 2-207. Additional Terms in Acceptance or Confirmation.</w:t>
      </w:r>
    </w:p>
    <w:p w:rsidR="00AD61B7" w:rsidRPr="00CF7637" w:rsidRDefault="00AD61B7" w:rsidP="00AD61B7">
      <w:pPr>
        <w:pStyle w:val="FootnoteText"/>
        <w:rPr>
          <w:sz w:val="22"/>
          <w:szCs w:val="22"/>
        </w:rPr>
      </w:pPr>
    </w:p>
    <w:p w:rsidR="00AD61B7" w:rsidRPr="00CF7637" w:rsidRDefault="00AD61B7" w:rsidP="00AD61B7">
      <w:pPr>
        <w:pStyle w:val="FootnoteText"/>
        <w:rPr>
          <w:sz w:val="22"/>
          <w:szCs w:val="22"/>
        </w:rPr>
      </w:pPr>
      <w:r w:rsidRPr="00CF7637">
        <w:rPr>
          <w:sz w:val="22"/>
          <w:szCs w:val="22"/>
        </w:rPr>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rsidR="00AD61B7" w:rsidRPr="00CF7637" w:rsidRDefault="00AD61B7" w:rsidP="00AD61B7">
      <w:pPr>
        <w:pStyle w:val="FootnoteText"/>
        <w:rPr>
          <w:sz w:val="22"/>
          <w:szCs w:val="22"/>
        </w:rPr>
      </w:pPr>
    </w:p>
    <w:p w:rsidR="00AD61B7" w:rsidRPr="00CF7637" w:rsidRDefault="00AD61B7" w:rsidP="00AD61B7">
      <w:pPr>
        <w:pStyle w:val="FootnoteText"/>
        <w:rPr>
          <w:sz w:val="22"/>
          <w:szCs w:val="22"/>
        </w:rPr>
      </w:pPr>
      <w:r w:rsidRPr="00CF7637">
        <w:rPr>
          <w:sz w:val="22"/>
          <w:szCs w:val="22"/>
        </w:rPr>
        <w:t>(2) The additional terms are to be construed as proposals for addition to the contract. Between merchants such terms become part of the contract unless:</w:t>
      </w:r>
    </w:p>
    <w:p w:rsidR="00AD61B7" w:rsidRPr="00CF7637" w:rsidRDefault="00AD61B7" w:rsidP="00AD61B7">
      <w:pPr>
        <w:pStyle w:val="FootnoteText"/>
        <w:rPr>
          <w:sz w:val="22"/>
          <w:szCs w:val="22"/>
        </w:rPr>
      </w:pPr>
    </w:p>
    <w:p w:rsidR="00AD61B7" w:rsidRPr="00CF7637" w:rsidRDefault="00AD61B7" w:rsidP="00AD61B7">
      <w:pPr>
        <w:pStyle w:val="FootnoteText"/>
        <w:rPr>
          <w:sz w:val="22"/>
          <w:szCs w:val="22"/>
        </w:rPr>
      </w:pPr>
      <w:r w:rsidRPr="00CF7637">
        <w:rPr>
          <w:sz w:val="22"/>
          <w:szCs w:val="22"/>
        </w:rPr>
        <w:t>(a) the offer expressly limits acceptance to the terms of the offer;</w:t>
      </w:r>
    </w:p>
    <w:p w:rsidR="00AD61B7" w:rsidRPr="00CF7637" w:rsidRDefault="00AD61B7" w:rsidP="00AD61B7">
      <w:pPr>
        <w:pStyle w:val="FootnoteText"/>
        <w:rPr>
          <w:sz w:val="22"/>
          <w:szCs w:val="22"/>
        </w:rPr>
      </w:pPr>
      <w:r w:rsidRPr="00CF7637">
        <w:rPr>
          <w:sz w:val="22"/>
          <w:szCs w:val="22"/>
        </w:rPr>
        <w:t>(b) they materially alter it; or</w:t>
      </w:r>
    </w:p>
    <w:p w:rsidR="00AD61B7" w:rsidRPr="00CF7637" w:rsidRDefault="00AD61B7" w:rsidP="00AD61B7">
      <w:pPr>
        <w:pStyle w:val="FootnoteText"/>
        <w:rPr>
          <w:sz w:val="22"/>
          <w:szCs w:val="22"/>
        </w:rPr>
      </w:pPr>
      <w:r w:rsidRPr="00CF7637">
        <w:rPr>
          <w:sz w:val="22"/>
          <w:szCs w:val="22"/>
        </w:rPr>
        <w:t>(c) notification of objection to them has already been given or is given within a reasonable time after notice of them is received.</w:t>
      </w:r>
    </w:p>
    <w:p w:rsidR="00AD61B7" w:rsidRPr="00CF7637" w:rsidRDefault="00AD61B7" w:rsidP="00AD61B7">
      <w:pPr>
        <w:pStyle w:val="FootnoteText"/>
        <w:rPr>
          <w:sz w:val="22"/>
          <w:szCs w:val="22"/>
        </w:rPr>
      </w:pPr>
    </w:p>
    <w:p w:rsidR="00AD61B7" w:rsidRPr="00CF7637" w:rsidRDefault="00AD61B7" w:rsidP="00AD61B7">
      <w:pPr>
        <w:pStyle w:val="FootnoteText"/>
        <w:rPr>
          <w:sz w:val="22"/>
          <w:szCs w:val="22"/>
        </w:rPr>
      </w:pPr>
      <w:r w:rsidRPr="00CF7637">
        <w:rPr>
          <w:sz w:val="22"/>
          <w:szCs w:val="22"/>
        </w:rPr>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p>
    <w:p w:rsidR="00AD61B7" w:rsidRDefault="00AD61B7" w:rsidP="00AD61B7">
      <w:pPr>
        <w:pStyle w:val="FootnoteText"/>
        <w:rPr>
          <w:sz w:val="22"/>
          <w:szCs w:val="22"/>
        </w:rPr>
      </w:pPr>
    </w:p>
    <w:p w:rsidR="00AD61B7" w:rsidRPr="00552DBF" w:rsidRDefault="00AD61B7" w:rsidP="00AD61B7">
      <w:pPr>
        <w:pStyle w:val="FootnoteText"/>
        <w:rPr>
          <w:sz w:val="22"/>
          <w:szCs w:val="22"/>
        </w:rPr>
      </w:pPr>
      <w:r>
        <w:rPr>
          <w:sz w:val="22"/>
          <w:szCs w:val="22"/>
        </w:rPr>
        <w:t>§2-</w:t>
      </w:r>
      <w:r w:rsidRPr="00552DBF">
        <w:rPr>
          <w:sz w:val="22"/>
          <w:szCs w:val="22"/>
        </w:rPr>
        <w:t>508. Cure by Seller of Improper Tender or Delivery; Replacement</w:t>
      </w:r>
    </w:p>
    <w:p w:rsidR="00AD61B7" w:rsidRPr="00552DBF" w:rsidRDefault="00AD61B7" w:rsidP="00AD61B7">
      <w:pPr>
        <w:pStyle w:val="FootnoteText"/>
        <w:rPr>
          <w:sz w:val="22"/>
          <w:szCs w:val="22"/>
        </w:rPr>
      </w:pPr>
    </w:p>
    <w:p w:rsidR="00AD61B7" w:rsidRPr="00552DBF" w:rsidRDefault="00AD61B7" w:rsidP="00AD61B7">
      <w:pPr>
        <w:pStyle w:val="FootnoteText"/>
        <w:rPr>
          <w:sz w:val="22"/>
          <w:szCs w:val="22"/>
        </w:rPr>
      </w:pPr>
      <w:r w:rsidRPr="00552DBF">
        <w:rPr>
          <w:sz w:val="22"/>
          <w:szCs w:val="22"/>
        </w:rPr>
        <w:t>(1) Where any tender or delivery by the seller is rejected because nonconforming and the time for performance has not yet expired, the seller may seasonably notify the buyer of his intention to cure and may then within the contract time make a conforming delivery.</w:t>
      </w:r>
    </w:p>
    <w:p w:rsidR="00AD61B7" w:rsidRPr="00552DBF" w:rsidRDefault="00AD61B7" w:rsidP="00AD61B7">
      <w:pPr>
        <w:pStyle w:val="FootnoteText"/>
        <w:rPr>
          <w:sz w:val="22"/>
          <w:szCs w:val="22"/>
        </w:rPr>
      </w:pPr>
    </w:p>
    <w:p w:rsidR="00AD61B7" w:rsidRPr="00552DBF" w:rsidRDefault="00AD61B7" w:rsidP="00AD61B7">
      <w:pPr>
        <w:pStyle w:val="FootnoteText"/>
        <w:rPr>
          <w:sz w:val="22"/>
          <w:szCs w:val="22"/>
        </w:rPr>
      </w:pPr>
      <w:r w:rsidRPr="00552DBF">
        <w:rPr>
          <w:sz w:val="22"/>
          <w:szCs w:val="22"/>
        </w:rPr>
        <w:t>(2) Where the buyer rejects a nonconforming tender which the seller had reasonable grounds to believe would be acceptable with or without money allowance the seller may if he seasonably notifies the buyer have a further reasonable time to substitute a conforming tender.</w:t>
      </w:r>
    </w:p>
    <w:p w:rsidR="00AD61B7" w:rsidRDefault="00AD61B7" w:rsidP="00AD61B7">
      <w:pPr>
        <w:pStyle w:val="FootnoteText"/>
        <w:rPr>
          <w:sz w:val="22"/>
          <w:szCs w:val="22"/>
        </w:rPr>
      </w:pPr>
    </w:p>
    <w:p w:rsidR="00AD61B7" w:rsidRPr="00D82010" w:rsidRDefault="00AD61B7" w:rsidP="00AD61B7">
      <w:pPr>
        <w:pStyle w:val="section"/>
        <w:spacing w:before="0" w:beforeAutospacing="0" w:after="180" w:afterAutospacing="0"/>
        <w:ind w:right="856"/>
        <w:rPr>
          <w:rFonts w:ascii="Verdana" w:hAnsi="Verdana" w:cs="Arial"/>
          <w:bCs/>
          <w:color w:val="000000"/>
          <w:sz w:val="22"/>
          <w:szCs w:val="22"/>
          <w:shd w:val="clear" w:color="auto" w:fill="FFFFFF"/>
        </w:rPr>
      </w:pPr>
      <w:r w:rsidRPr="00D82010">
        <w:rPr>
          <w:rStyle w:val="section1"/>
          <w:rFonts w:ascii="Verdana" w:hAnsi="Verdana" w:cs="Arial"/>
          <w:bCs/>
          <w:color w:val="000000"/>
          <w:sz w:val="22"/>
          <w:szCs w:val="22"/>
          <w:shd w:val="clear" w:color="auto" w:fill="FFFFFF"/>
        </w:rPr>
        <w:t>2</w:t>
      </w:r>
      <w:r w:rsidRPr="00D82010">
        <w:rPr>
          <w:rFonts w:ascii="Verdana" w:hAnsi="Verdana" w:cs="Arial"/>
          <w:bCs/>
          <w:color w:val="000000"/>
          <w:sz w:val="22"/>
          <w:szCs w:val="22"/>
          <w:shd w:val="clear" w:color="auto" w:fill="FFFFFF"/>
        </w:rPr>
        <w:t>-</w:t>
      </w:r>
      <w:r w:rsidRPr="00D82010">
        <w:rPr>
          <w:rStyle w:val="section2"/>
          <w:rFonts w:ascii="Verdana" w:hAnsi="Verdana" w:cs="Arial"/>
          <w:bCs/>
          <w:color w:val="000000"/>
          <w:sz w:val="22"/>
          <w:szCs w:val="22"/>
          <w:shd w:val="clear" w:color="auto" w:fill="FFFFFF"/>
        </w:rPr>
        <w:t>715</w:t>
      </w:r>
      <w:r w:rsidRPr="00D82010">
        <w:rPr>
          <w:rFonts w:ascii="Verdana" w:hAnsi="Verdana" w:cs="Arial"/>
          <w:bCs/>
          <w:color w:val="000000"/>
          <w:sz w:val="22"/>
          <w:szCs w:val="22"/>
          <w:shd w:val="clear" w:color="auto" w:fill="FFFFFF"/>
        </w:rPr>
        <w:t>. Buyer's Incidental and Consequential Damages.</w:t>
      </w:r>
    </w:p>
    <w:p w:rsidR="00AD61B7" w:rsidRPr="002F3C34" w:rsidRDefault="00AD61B7" w:rsidP="00AD61B7">
      <w:pPr>
        <w:pStyle w:val="text-level1"/>
        <w:ind w:right="612"/>
        <w:rPr>
          <w:rFonts w:ascii="Verdana" w:hAnsi="Verdana" w:cs="Lucida Sans Unicode"/>
          <w:color w:val="000000"/>
          <w:sz w:val="22"/>
          <w:szCs w:val="22"/>
          <w:shd w:val="clear" w:color="auto" w:fill="FFFFFF"/>
        </w:rPr>
      </w:pPr>
      <w:bookmarkStart w:id="1" w:name="s2-7151"/>
      <w:bookmarkEnd w:id="1"/>
      <w:r w:rsidRPr="002F3C34">
        <w:rPr>
          <w:rFonts w:ascii="Verdana" w:hAnsi="Verdana" w:cs="Lucida Sans Unicode"/>
          <w:color w:val="000000"/>
          <w:sz w:val="22"/>
          <w:szCs w:val="22"/>
          <w:shd w:val="clear" w:color="auto" w:fill="FFFFFF"/>
        </w:rPr>
        <w:t>(1) Incidental damages resulting from the</w:t>
      </w:r>
      <w:r w:rsidRPr="002F3C34">
        <w:rPr>
          <w:rStyle w:val="apple-converted-space"/>
          <w:rFonts w:ascii="Verdana" w:hAnsi="Verdana" w:cs="Lucida Sans Unicode"/>
          <w:color w:val="000000"/>
          <w:sz w:val="22"/>
          <w:szCs w:val="22"/>
          <w:shd w:val="clear" w:color="auto" w:fill="FFFFFF"/>
        </w:rPr>
        <w:t> </w:t>
      </w:r>
      <w:hyperlink r:id="rId7" w:anchor="Seller" w:history="1">
        <w:r w:rsidRPr="002F3C34">
          <w:rPr>
            <w:rStyle w:val="Hyperlink"/>
            <w:rFonts w:ascii="Verdana" w:hAnsi="Verdana" w:cs="Lucida Sans Unicode"/>
            <w:color w:val="005C72"/>
            <w:sz w:val="22"/>
            <w:szCs w:val="22"/>
            <w:shd w:val="clear" w:color="auto" w:fill="FFFFFF"/>
          </w:rPr>
          <w:t>seller's</w:t>
        </w:r>
      </w:hyperlink>
      <w:r w:rsidRPr="002F3C34">
        <w:rPr>
          <w:rStyle w:val="apple-converted-space"/>
          <w:rFonts w:ascii="Verdana" w:hAnsi="Verdana" w:cs="Lucida Sans Unicode"/>
          <w:color w:val="000000"/>
          <w:sz w:val="22"/>
          <w:szCs w:val="22"/>
          <w:shd w:val="clear" w:color="auto" w:fill="FFFFFF"/>
        </w:rPr>
        <w:t> </w:t>
      </w:r>
      <w:r w:rsidRPr="002F3C34">
        <w:rPr>
          <w:rFonts w:ascii="Verdana" w:hAnsi="Verdana" w:cs="Lucida Sans Unicode"/>
          <w:color w:val="000000"/>
          <w:sz w:val="22"/>
          <w:szCs w:val="22"/>
          <w:shd w:val="clear" w:color="auto" w:fill="FFFFFF"/>
        </w:rPr>
        <w:t>breach include expenses reasonably incurred in inspection,</w:t>
      </w:r>
      <w:r w:rsidRPr="002F3C34">
        <w:rPr>
          <w:rStyle w:val="apple-converted-space"/>
          <w:rFonts w:ascii="Verdana" w:hAnsi="Verdana" w:cs="Lucida Sans Unicode"/>
          <w:color w:val="000000"/>
          <w:sz w:val="22"/>
          <w:szCs w:val="22"/>
          <w:shd w:val="clear" w:color="auto" w:fill="FFFFFF"/>
        </w:rPr>
        <w:t> </w:t>
      </w:r>
      <w:hyperlink r:id="rId8" w:anchor="Receipt" w:history="1">
        <w:r w:rsidRPr="002F3C34">
          <w:rPr>
            <w:rStyle w:val="Hyperlink"/>
            <w:rFonts w:ascii="Verdana" w:hAnsi="Verdana" w:cs="Lucida Sans Unicode"/>
            <w:color w:val="005C72"/>
            <w:sz w:val="22"/>
            <w:szCs w:val="22"/>
            <w:shd w:val="clear" w:color="auto" w:fill="FFFFFF"/>
          </w:rPr>
          <w:t>receipt</w:t>
        </w:r>
      </w:hyperlink>
      <w:r w:rsidRPr="002F3C34">
        <w:rPr>
          <w:rFonts w:ascii="Verdana" w:hAnsi="Verdana" w:cs="Lucida Sans Unicode"/>
          <w:color w:val="000000"/>
          <w:sz w:val="22"/>
          <w:szCs w:val="22"/>
          <w:shd w:val="clear" w:color="auto" w:fill="FFFFFF"/>
        </w:rPr>
        <w:t>, transportation and care and custody of</w:t>
      </w:r>
      <w:r w:rsidRPr="002F3C34">
        <w:rPr>
          <w:rStyle w:val="apple-converted-space"/>
          <w:rFonts w:ascii="Verdana" w:hAnsi="Verdana" w:cs="Lucida Sans Unicode"/>
          <w:color w:val="000000"/>
          <w:sz w:val="22"/>
          <w:szCs w:val="22"/>
          <w:shd w:val="clear" w:color="auto" w:fill="FFFFFF"/>
        </w:rPr>
        <w:t> </w:t>
      </w:r>
      <w:hyperlink r:id="rId9" w:anchor="Goods" w:history="1">
        <w:r w:rsidRPr="002F3C34">
          <w:rPr>
            <w:rStyle w:val="Hyperlink"/>
            <w:rFonts w:ascii="Verdana" w:hAnsi="Verdana" w:cs="Lucida Sans Unicode"/>
            <w:color w:val="005C72"/>
            <w:sz w:val="22"/>
            <w:szCs w:val="22"/>
            <w:shd w:val="clear" w:color="auto" w:fill="FFFFFF"/>
          </w:rPr>
          <w:t>goods</w:t>
        </w:r>
      </w:hyperlink>
      <w:r w:rsidRPr="002F3C34">
        <w:rPr>
          <w:rStyle w:val="apple-converted-space"/>
          <w:rFonts w:ascii="Verdana" w:hAnsi="Verdana" w:cs="Lucida Sans Unicode"/>
          <w:color w:val="000000"/>
          <w:sz w:val="22"/>
          <w:szCs w:val="22"/>
          <w:shd w:val="clear" w:color="auto" w:fill="FFFFFF"/>
        </w:rPr>
        <w:t> </w:t>
      </w:r>
      <w:r w:rsidRPr="002F3C34">
        <w:rPr>
          <w:rFonts w:ascii="Verdana" w:hAnsi="Verdana" w:cs="Lucida Sans Unicode"/>
          <w:color w:val="000000"/>
          <w:sz w:val="22"/>
          <w:szCs w:val="22"/>
          <w:shd w:val="clear" w:color="auto" w:fill="FFFFFF"/>
        </w:rPr>
        <w:t>rightfully rejected, any commercially reasonable charges, expenses or commissions in connection with effecting cover and any other reasonable expense incident to the delay or other breach.</w:t>
      </w:r>
    </w:p>
    <w:p w:rsidR="00AD61B7" w:rsidRPr="002F3C34" w:rsidRDefault="00AD61B7" w:rsidP="00AD61B7">
      <w:pPr>
        <w:pStyle w:val="text-level1"/>
        <w:ind w:right="612"/>
        <w:rPr>
          <w:rFonts w:ascii="Verdana" w:hAnsi="Verdana" w:cs="Lucida Sans Unicode"/>
          <w:color w:val="000000"/>
          <w:sz w:val="22"/>
          <w:szCs w:val="22"/>
          <w:shd w:val="clear" w:color="auto" w:fill="FFFFFF"/>
        </w:rPr>
      </w:pPr>
      <w:bookmarkStart w:id="2" w:name="s2-7152"/>
      <w:bookmarkEnd w:id="2"/>
      <w:r w:rsidRPr="002F3C34">
        <w:rPr>
          <w:rFonts w:ascii="Verdana" w:hAnsi="Verdana" w:cs="Lucida Sans Unicode"/>
          <w:color w:val="000000"/>
          <w:sz w:val="22"/>
          <w:szCs w:val="22"/>
          <w:shd w:val="clear" w:color="auto" w:fill="FFFFFF"/>
        </w:rPr>
        <w:t>(2) Consequential damages resulting from the</w:t>
      </w:r>
      <w:r w:rsidRPr="002F3C34">
        <w:rPr>
          <w:rStyle w:val="apple-converted-space"/>
          <w:rFonts w:ascii="Verdana" w:hAnsi="Verdana" w:cs="Lucida Sans Unicode"/>
          <w:color w:val="000000"/>
          <w:sz w:val="22"/>
          <w:szCs w:val="22"/>
          <w:shd w:val="clear" w:color="auto" w:fill="FFFFFF"/>
        </w:rPr>
        <w:t> </w:t>
      </w:r>
      <w:hyperlink r:id="rId10" w:anchor="Seller" w:history="1">
        <w:r w:rsidRPr="002F3C34">
          <w:rPr>
            <w:rStyle w:val="Hyperlink"/>
            <w:rFonts w:ascii="Verdana" w:hAnsi="Verdana" w:cs="Lucida Sans Unicode"/>
            <w:color w:val="005C72"/>
            <w:sz w:val="22"/>
            <w:szCs w:val="22"/>
            <w:shd w:val="clear" w:color="auto" w:fill="FFFFFF"/>
          </w:rPr>
          <w:t>seller's</w:t>
        </w:r>
      </w:hyperlink>
      <w:r w:rsidRPr="002F3C34">
        <w:rPr>
          <w:rStyle w:val="apple-converted-space"/>
          <w:rFonts w:ascii="Verdana" w:hAnsi="Verdana" w:cs="Lucida Sans Unicode"/>
          <w:color w:val="000000"/>
          <w:sz w:val="22"/>
          <w:szCs w:val="22"/>
          <w:shd w:val="clear" w:color="auto" w:fill="FFFFFF"/>
        </w:rPr>
        <w:t> </w:t>
      </w:r>
      <w:r w:rsidRPr="002F3C34">
        <w:rPr>
          <w:rFonts w:ascii="Verdana" w:hAnsi="Verdana" w:cs="Lucida Sans Unicode"/>
          <w:color w:val="000000"/>
          <w:sz w:val="22"/>
          <w:szCs w:val="22"/>
          <w:shd w:val="clear" w:color="auto" w:fill="FFFFFF"/>
        </w:rPr>
        <w:t>breach include</w:t>
      </w:r>
    </w:p>
    <w:p w:rsidR="00AD61B7" w:rsidRPr="002F3C34" w:rsidRDefault="00AD61B7" w:rsidP="00AD61B7">
      <w:pPr>
        <w:pStyle w:val="text-level2"/>
        <w:ind w:left="612" w:right="612"/>
        <w:rPr>
          <w:rFonts w:ascii="Verdana" w:hAnsi="Verdana" w:cs="Lucida Sans Unicode"/>
          <w:color w:val="000000"/>
          <w:sz w:val="22"/>
          <w:szCs w:val="22"/>
          <w:shd w:val="clear" w:color="auto" w:fill="FFFFFF"/>
        </w:rPr>
      </w:pPr>
      <w:r w:rsidRPr="002F3C34">
        <w:rPr>
          <w:rFonts w:ascii="Verdana" w:hAnsi="Verdana" w:cs="Lucida Sans Unicode"/>
          <w:color w:val="000000"/>
          <w:sz w:val="22"/>
          <w:szCs w:val="22"/>
          <w:shd w:val="clear" w:color="auto" w:fill="FFFFFF"/>
        </w:rPr>
        <w:lastRenderedPageBreak/>
        <w:t>(a) any loss resulting from general or particular requirements and needs of which the</w:t>
      </w:r>
      <w:r w:rsidRPr="002F3C34">
        <w:rPr>
          <w:rStyle w:val="apple-converted-space"/>
          <w:rFonts w:ascii="Verdana" w:hAnsi="Verdana" w:cs="Lucida Sans Unicode"/>
          <w:color w:val="000000"/>
          <w:sz w:val="22"/>
          <w:szCs w:val="22"/>
          <w:shd w:val="clear" w:color="auto" w:fill="FFFFFF"/>
        </w:rPr>
        <w:t> </w:t>
      </w:r>
      <w:hyperlink r:id="rId11" w:anchor="Seller" w:history="1">
        <w:r w:rsidRPr="002F3C34">
          <w:rPr>
            <w:rStyle w:val="Hyperlink"/>
            <w:rFonts w:ascii="Verdana" w:hAnsi="Verdana" w:cs="Lucida Sans Unicode"/>
            <w:color w:val="005C72"/>
            <w:sz w:val="22"/>
            <w:szCs w:val="22"/>
            <w:shd w:val="clear" w:color="auto" w:fill="FFFFFF"/>
          </w:rPr>
          <w:t>seller</w:t>
        </w:r>
      </w:hyperlink>
      <w:r w:rsidRPr="002F3C34">
        <w:rPr>
          <w:rStyle w:val="apple-converted-space"/>
          <w:rFonts w:ascii="Verdana" w:hAnsi="Verdana" w:cs="Lucida Sans Unicode"/>
          <w:color w:val="000000"/>
          <w:sz w:val="22"/>
          <w:szCs w:val="22"/>
          <w:shd w:val="clear" w:color="auto" w:fill="FFFFFF"/>
        </w:rPr>
        <w:t> </w:t>
      </w:r>
      <w:r w:rsidRPr="002F3C34">
        <w:rPr>
          <w:rFonts w:ascii="Verdana" w:hAnsi="Verdana" w:cs="Lucida Sans Unicode"/>
          <w:color w:val="000000"/>
          <w:sz w:val="22"/>
          <w:szCs w:val="22"/>
          <w:shd w:val="clear" w:color="auto" w:fill="FFFFFF"/>
        </w:rPr>
        <w:t>at the time of contracting had reason to know and which could not reasonably be prevented by cover or otherwise;  and</w:t>
      </w:r>
    </w:p>
    <w:p w:rsidR="000B7B63" w:rsidRPr="00AD61B7" w:rsidRDefault="00AD61B7" w:rsidP="00AD61B7">
      <w:pPr>
        <w:pStyle w:val="text-level2"/>
        <w:ind w:left="612" w:right="612"/>
        <w:rPr>
          <w:rFonts w:ascii="Verdana" w:hAnsi="Verdana" w:cs="Lucida Sans Unicode"/>
          <w:color w:val="000000"/>
          <w:sz w:val="22"/>
          <w:szCs w:val="22"/>
          <w:shd w:val="clear" w:color="auto" w:fill="FFFFFF"/>
        </w:rPr>
      </w:pPr>
      <w:r w:rsidRPr="002F3C34">
        <w:rPr>
          <w:rFonts w:ascii="Verdana" w:hAnsi="Verdana" w:cs="Lucida Sans Unicode"/>
          <w:color w:val="000000"/>
          <w:sz w:val="22"/>
          <w:szCs w:val="22"/>
          <w:shd w:val="clear" w:color="auto" w:fill="FFFFFF"/>
        </w:rPr>
        <w:t>(b) injury to person or property proximately resulting from any breach of warranty.</w:t>
      </w:r>
    </w:p>
    <w:sectPr w:rsidR="000B7B63" w:rsidRPr="00AD61B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2B9" w:rsidRDefault="000632B9" w:rsidP="00FF0C9E">
      <w:r>
        <w:separator/>
      </w:r>
    </w:p>
  </w:endnote>
  <w:endnote w:type="continuationSeparator" w:id="0">
    <w:p w:rsidR="000632B9" w:rsidRDefault="000632B9" w:rsidP="00FF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082084"/>
      <w:docPartObj>
        <w:docPartGallery w:val="Page Numbers (Bottom of Page)"/>
        <w:docPartUnique/>
      </w:docPartObj>
    </w:sdtPr>
    <w:sdtEndPr>
      <w:rPr>
        <w:noProof/>
      </w:rPr>
    </w:sdtEndPr>
    <w:sdtContent>
      <w:p w:rsidR="00FF0C9E" w:rsidRDefault="00FF0C9E">
        <w:pPr>
          <w:pStyle w:val="Footer"/>
          <w:jc w:val="center"/>
        </w:pPr>
        <w:r>
          <w:fldChar w:fldCharType="begin"/>
        </w:r>
        <w:r>
          <w:instrText xml:space="preserve"> PAGE   \* MERGEFORMAT </w:instrText>
        </w:r>
        <w:r>
          <w:fldChar w:fldCharType="separate"/>
        </w:r>
        <w:r w:rsidR="00022BF5">
          <w:rPr>
            <w:noProof/>
          </w:rPr>
          <w:t>3</w:t>
        </w:r>
        <w:r>
          <w:rPr>
            <w:noProof/>
          </w:rPr>
          <w:fldChar w:fldCharType="end"/>
        </w:r>
      </w:p>
    </w:sdtContent>
  </w:sdt>
  <w:p w:rsidR="00FF0C9E" w:rsidRDefault="00FF0C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2B9" w:rsidRDefault="000632B9" w:rsidP="00FF0C9E">
      <w:r>
        <w:separator/>
      </w:r>
    </w:p>
  </w:footnote>
  <w:footnote w:type="continuationSeparator" w:id="0">
    <w:p w:rsidR="000632B9" w:rsidRDefault="000632B9" w:rsidP="00FF0C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B2BA6"/>
    <w:multiLevelType w:val="hybridMultilevel"/>
    <w:tmpl w:val="FD3ECDE0"/>
    <w:lvl w:ilvl="0" w:tplc="94782F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736"/>
    <w:rsid w:val="000025FB"/>
    <w:rsid w:val="00006250"/>
    <w:rsid w:val="00022BF5"/>
    <w:rsid w:val="00044B11"/>
    <w:rsid w:val="000632B9"/>
    <w:rsid w:val="000679C9"/>
    <w:rsid w:val="000A7736"/>
    <w:rsid w:val="000B7B63"/>
    <w:rsid w:val="00131540"/>
    <w:rsid w:val="002F68F0"/>
    <w:rsid w:val="00303ABC"/>
    <w:rsid w:val="00303E6A"/>
    <w:rsid w:val="003043C2"/>
    <w:rsid w:val="00324760"/>
    <w:rsid w:val="003D6EFD"/>
    <w:rsid w:val="003E0A22"/>
    <w:rsid w:val="004102B0"/>
    <w:rsid w:val="004401A1"/>
    <w:rsid w:val="00461110"/>
    <w:rsid w:val="0047653A"/>
    <w:rsid w:val="004B6D14"/>
    <w:rsid w:val="004C05C1"/>
    <w:rsid w:val="005A3F75"/>
    <w:rsid w:val="005C6C13"/>
    <w:rsid w:val="00601554"/>
    <w:rsid w:val="006B5BB9"/>
    <w:rsid w:val="00776F3E"/>
    <w:rsid w:val="00780E86"/>
    <w:rsid w:val="00871FA6"/>
    <w:rsid w:val="008E01CF"/>
    <w:rsid w:val="00900518"/>
    <w:rsid w:val="009A404E"/>
    <w:rsid w:val="009B74CE"/>
    <w:rsid w:val="009C21E4"/>
    <w:rsid w:val="009F39C8"/>
    <w:rsid w:val="00A56DD9"/>
    <w:rsid w:val="00A86A3B"/>
    <w:rsid w:val="00A87A4D"/>
    <w:rsid w:val="00AD0250"/>
    <w:rsid w:val="00AD61B7"/>
    <w:rsid w:val="00B132DC"/>
    <w:rsid w:val="00B62144"/>
    <w:rsid w:val="00B7372E"/>
    <w:rsid w:val="00BA75D1"/>
    <w:rsid w:val="00BE4333"/>
    <w:rsid w:val="00BE4BB1"/>
    <w:rsid w:val="00BF4207"/>
    <w:rsid w:val="00C35C3F"/>
    <w:rsid w:val="00C51BAE"/>
    <w:rsid w:val="00C83CB0"/>
    <w:rsid w:val="00CF4A8D"/>
    <w:rsid w:val="00DA7D54"/>
    <w:rsid w:val="00EE4517"/>
    <w:rsid w:val="00F657C2"/>
    <w:rsid w:val="00F81CE8"/>
    <w:rsid w:val="00F9152A"/>
    <w:rsid w:val="00FE614A"/>
    <w:rsid w:val="00FF0C9E"/>
    <w:rsid w:val="00FF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CD4A"/>
  <w15:chartTrackingRefBased/>
  <w15:docId w15:val="{D3C3FCC0-B7E0-449A-B4F4-7EB312A0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2"/>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06250"/>
    <w:pPr>
      <w:ind w:firstLine="0"/>
    </w:pPr>
    <w:rPr>
      <w:sz w:val="20"/>
    </w:rPr>
  </w:style>
  <w:style w:type="character" w:customStyle="1" w:styleId="FootnoteTextChar">
    <w:name w:val="Footnote Text Char"/>
    <w:basedOn w:val="DefaultParagraphFont"/>
    <w:link w:val="FootnoteText"/>
    <w:rsid w:val="00006250"/>
    <w:rPr>
      <w:sz w:val="20"/>
    </w:rPr>
  </w:style>
  <w:style w:type="paragraph" w:customStyle="1" w:styleId="section">
    <w:name w:val="section"/>
    <w:basedOn w:val="Normal"/>
    <w:rsid w:val="00AD61B7"/>
    <w:pPr>
      <w:spacing w:before="100" w:beforeAutospacing="1" w:after="100" w:afterAutospacing="1"/>
      <w:ind w:firstLine="0"/>
    </w:pPr>
    <w:rPr>
      <w:rFonts w:ascii="Times New Roman" w:eastAsia="Times New Roman" w:hAnsi="Times New Roman" w:cs="Times New Roman"/>
      <w:sz w:val="24"/>
    </w:rPr>
  </w:style>
  <w:style w:type="character" w:customStyle="1" w:styleId="apple-converted-space">
    <w:name w:val="apple-converted-space"/>
    <w:basedOn w:val="DefaultParagraphFont"/>
    <w:rsid w:val="00AD61B7"/>
  </w:style>
  <w:style w:type="character" w:customStyle="1" w:styleId="section1">
    <w:name w:val="section1"/>
    <w:basedOn w:val="DefaultParagraphFont"/>
    <w:rsid w:val="00AD61B7"/>
  </w:style>
  <w:style w:type="character" w:customStyle="1" w:styleId="section2">
    <w:name w:val="section2"/>
    <w:basedOn w:val="DefaultParagraphFont"/>
    <w:rsid w:val="00AD61B7"/>
  </w:style>
  <w:style w:type="paragraph" w:customStyle="1" w:styleId="text-level1">
    <w:name w:val="text-level1"/>
    <w:basedOn w:val="Normal"/>
    <w:rsid w:val="00AD61B7"/>
    <w:pPr>
      <w:spacing w:before="100" w:beforeAutospacing="1" w:after="100" w:afterAutospacing="1"/>
      <w:ind w:firstLine="0"/>
    </w:pPr>
    <w:rPr>
      <w:rFonts w:ascii="Times New Roman" w:eastAsia="Times New Roman" w:hAnsi="Times New Roman" w:cs="Times New Roman"/>
      <w:sz w:val="24"/>
    </w:rPr>
  </w:style>
  <w:style w:type="character" w:styleId="Hyperlink">
    <w:name w:val="Hyperlink"/>
    <w:basedOn w:val="DefaultParagraphFont"/>
    <w:uiPriority w:val="99"/>
    <w:semiHidden/>
    <w:unhideWhenUsed/>
    <w:rsid w:val="00AD61B7"/>
    <w:rPr>
      <w:color w:val="0000FF"/>
      <w:u w:val="single"/>
    </w:rPr>
  </w:style>
  <w:style w:type="paragraph" w:customStyle="1" w:styleId="text-level2">
    <w:name w:val="text-level2"/>
    <w:basedOn w:val="Normal"/>
    <w:rsid w:val="00AD61B7"/>
    <w:pPr>
      <w:spacing w:before="100" w:beforeAutospacing="1" w:after="100" w:afterAutospacing="1"/>
      <w:ind w:firstLine="0"/>
    </w:pPr>
    <w:rPr>
      <w:rFonts w:ascii="Times New Roman" w:eastAsia="Times New Roman" w:hAnsi="Times New Roman" w:cs="Times New Roman"/>
      <w:sz w:val="24"/>
    </w:rPr>
  </w:style>
  <w:style w:type="paragraph" w:styleId="ListParagraph">
    <w:name w:val="List Paragraph"/>
    <w:basedOn w:val="Normal"/>
    <w:uiPriority w:val="34"/>
    <w:qFormat/>
    <w:rsid w:val="00303ABC"/>
    <w:pPr>
      <w:ind w:left="720"/>
      <w:contextualSpacing/>
    </w:pPr>
  </w:style>
  <w:style w:type="paragraph" w:styleId="Header">
    <w:name w:val="header"/>
    <w:basedOn w:val="Normal"/>
    <w:link w:val="HeaderChar"/>
    <w:uiPriority w:val="99"/>
    <w:unhideWhenUsed/>
    <w:rsid w:val="00FF0C9E"/>
    <w:pPr>
      <w:tabs>
        <w:tab w:val="center" w:pos="4680"/>
        <w:tab w:val="right" w:pos="9360"/>
      </w:tabs>
    </w:pPr>
  </w:style>
  <w:style w:type="character" w:customStyle="1" w:styleId="HeaderChar">
    <w:name w:val="Header Char"/>
    <w:basedOn w:val="DefaultParagraphFont"/>
    <w:link w:val="Header"/>
    <w:uiPriority w:val="99"/>
    <w:rsid w:val="00FF0C9E"/>
  </w:style>
  <w:style w:type="paragraph" w:styleId="Footer">
    <w:name w:val="footer"/>
    <w:basedOn w:val="Normal"/>
    <w:link w:val="FooterChar"/>
    <w:uiPriority w:val="99"/>
    <w:unhideWhenUsed/>
    <w:rsid w:val="00FF0C9E"/>
    <w:pPr>
      <w:tabs>
        <w:tab w:val="center" w:pos="4680"/>
        <w:tab w:val="right" w:pos="9360"/>
      </w:tabs>
    </w:pPr>
  </w:style>
  <w:style w:type="character" w:customStyle="1" w:styleId="FooterChar">
    <w:name w:val="Footer Char"/>
    <w:basedOn w:val="DefaultParagraphFont"/>
    <w:link w:val="Footer"/>
    <w:uiPriority w:val="99"/>
    <w:rsid w:val="00FF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80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cc/2/article2.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w.cornell.edu/ucc/2/article2.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w.cornell.edu/ucc/2/article2.htm" TargetMode="External"/><Relationship Id="rId5" Type="http://schemas.openxmlformats.org/officeDocument/2006/relationships/footnotes" Target="footnotes.xml"/><Relationship Id="rId10" Type="http://schemas.openxmlformats.org/officeDocument/2006/relationships/hyperlink" Target="http://www.law.cornell.edu/ucc/2/article2.htm" TargetMode="External"/><Relationship Id="rId4" Type="http://schemas.openxmlformats.org/officeDocument/2006/relationships/webSettings" Target="webSettings.xml"/><Relationship Id="rId9" Type="http://schemas.openxmlformats.org/officeDocument/2006/relationships/hyperlink" Target="http://www.law.cornell.edu/ucc/2/article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6</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44</cp:revision>
  <dcterms:created xsi:type="dcterms:W3CDTF">2017-11-18T22:54:00Z</dcterms:created>
  <dcterms:modified xsi:type="dcterms:W3CDTF">2018-11-27T21:11:00Z</dcterms:modified>
</cp:coreProperties>
</file>